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股东协议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出资安排</w:t>
      </w:r>
    </w:p>
    <w:p>
      <w:r>
        <w:t>目标公司及持股：{{公司与持股}}。出资安排：{{出资安排}}。</w:t>
      </w:r>
    </w:p>
    <w:p>
      <w:r>
        <w:t>股东应按期足额缴纳出资；未按期足额缴纳的，应向已足额缴纳的股东承担违约责任。</w:t>
      </w:r>
    </w:p>
    <w:p>
      <w:pPr>
        <w:pStyle w:val="Heading2"/>
      </w:pPr>
      <w:r>
        <w:t>治理与分红</w:t>
      </w:r>
    </w:p>
    <w:p>
      <w:r>
        <w:t>治理与表决：{{治理安排}}。利润分配：{{分红安排}}。</w:t>
      </w:r>
    </w:p>
    <w:p>
      <w:pPr>
        <w:pStyle w:val="Heading2"/>
      </w:pPr>
      <w:r>
        <w:t>转让限制与退出</w:t>
      </w:r>
    </w:p>
    <w:p>
      <w:r>
        <w:t>股权转让限制：{{转让限制}}。退出机制：{{退出机制}}。</w:t>
      </w:r>
    </w:p>
    <w:p>
      <w:r>
        <w:t>同业竞争：{{同业竞争}}。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