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质押合同</w:t>
      </w:r>
    </w:p>
    <w:p>
      <w:pPr>
        <w:pStyle w:val="Heading2"/>
      </w:pPr>
      <w:r>
        <w:t>当事人</w:t>
      </w:r>
    </w:p>
    <w:p>
      <w:r>
        <w:t>出租方（甲方）：</w:t>
      </w:r>
      <w:r>
        <w:rPr>
          <w:highlight w:val="yellow"/>
        </w:rPr>
        <w:t>{{party_a}}</w:t>
      </w:r>
    </w:p>
    <w:p>
      <w:r>
        <w:t>承租方（乙方）：</w:t>
      </w:r>
      <w:r>
        <w:rPr>
          <w:highlight w:val="yellow"/>
        </w:rPr>
        <w:t>{{party_b}}</w:t>
      </w:r>
    </w:p>
    <w:p>
      <w:r>
        <w:t>甲乙双方本着平等自愿、诚实信用的原则，就本合同项下事宜协商一致，订立本合同。</w:t>
      </w:r>
    </w:p>
    <w:p>
      <w:pPr>
        <w:pStyle w:val="Heading2"/>
      </w:pPr>
      <w:r>
        <w:t>权利义务</w:t>
      </w:r>
    </w:p>
    <w:p>
      <w:r>
        <w:t>以基金份额、股权、知识产权中的财产权、应收账款等出质的，</w:t>
      </w:r>
    </w:p>
    <w:p>
      <w:r>
        <w:t>质权自办理出质登记时设立。出质后，出质人转让出质的基金份额、股权或</w:t>
      </w:r>
    </w:p>
    <w:p>
      <w:r>
        <w:t>应收账款的，应经质权人同意，所得价款应向质权人提前清偿或提存。</w:t>
      </w:r>
    </w:p>
    <w:p>
      <w:pPr>
        <w:pStyle w:val="Heading2"/>
      </w:pPr>
      <w:r>
        <w:t>违约责任</w:t>
      </w:r>
    </w:p>
    <w:p>
      <w:r>
        <w:t>任何一方违反本合同约定的，应当向守约方支付违约金；本合同对违约金数额有具体约定的，从其约定。</w:t>
      </w:r>
    </w:p>
    <w:p>
      <w:r>
        <w:t>约定的违约金不足以弥补守约方实际损失的，违约方应当补足差额；约定的违约金过分高于实际损失的，违约方可以依法请求适当减少。</w:t>
      </w:r>
    </w:p>
    <w:p>
      <w:r>
        <w:t>违约方按约定支付违约金后，守约方不再就违约金已覆盖的损失另行主张赔偿。</w:t>
      </w:r>
    </w:p>
    <w:p>
      <w:pPr>
        <w:pStyle w:val="Heading2"/>
      </w:pPr>
      <w:r>
        <w:t>争议解决</w:t>
      </w:r>
    </w:p>
    <w:p>
      <w:r>
        <w:t>一方向另一方发出的通知，应以书面形式送达至对方在本合同载明的地址或联系方式。</w:t>
      </w:r>
    </w:p>
    <w:p>
      <w:r>
        <w:t>送达以签收、挂号信回执或可查证的电子送达为准。</w:t>
      </w:r>
    </w:p>
    <w:p>
      <w:pPr>
        <w:pStyle w:val="Heading2"/>
      </w:pPr>
      <w:r>
        <w:t>孳息收取</w:t>
      </w:r>
    </w:p>
    <w:p>
      <w:r>
        <w:t>质押期间质物产生的孳息：{{孳息归属}}。</w:t>
      </w:r>
    </w:p>
    <w:p>
      <w:r>
        <w:t>质权人收取孳息的，应先充抵收取孳息的费用。</w:t>
      </w:r>
    </w:p>
    <w:p>
      <w:pPr>
        <w:pStyle w:val="Heading2"/>
      </w:pPr>
      <w:r>
        <w:t>禁止流质</w:t>
      </w:r>
    </w:p>
    <w:p>
      <w:r>
        <w:t>质权人在债务履行期限届满前，不得与出质人约定债务人到期不履行债务时</w:t>
      </w:r>
    </w:p>
    <w:p>
      <w:r>
        <w:t>质押财产归债权人所有（流质条款无效）。债务人到期不履行债务的，</w:t>
      </w:r>
    </w:p>
    <w:p>
      <w:r>
        <w:t>质权人可以与出质人协议以质押财产折价或拍卖、变卖该财产优先受偿。</w:t>
      </w:r>
    </w:p>
    <w:p>
      <w:pPr>
        <w:pStyle w:val="Heading2"/>
      </w:pPr>
      <w:r>
        <w:t>质押物与担保范围</w:t>
      </w:r>
    </w:p>
    <w:p>
      <w:r>
        <w:t>出质人以{{质押物}}为{{被担保债权}}提供质押担保，担保范围{{担保范围}}，</w:t>
      </w:r>
    </w:p>
    <w:p>
      <w:r>
        <w:t>质押物价值{{质押物价值}}。动产质押自交付时设立；权利质押自办理出质登记</w:t>
      </w:r>
    </w:p>
    <w:p>
      <w:r>
        <w:t>或交付权利凭证时设立（{{交付/登记}}）。</w:t>
      </w:r>
    </w:p>
    <w:p>
      <w:pPr>
        <w:pStyle w:val="Heading2"/>
      </w:pPr>
      <w:r>
        <w:t>质权实现</w:t>
      </w:r>
    </w:p>
    <w:p>
      <w:r>
        <w:t>债务人不履行到期债务或者发生当事人约定的实现质权的情形，</w:t>
      </w:r>
    </w:p>
    <w:p>
      <w:r>
        <w:t>质权人可以与出质人协议以质押财产折价，也可以就拍卖、变卖质押财产所得的价款优先受偿。</w:t>
      </w:r>
    </w:p>
    <w:p>
      <w:r>
        <w:t>质押财产折价或者变卖的，应当参照市场价格。</w:t>
      </w:r>
    </w:p>
    <w:p>
      <w:pPr>
        <w:pStyle w:val="Heading2"/>
      </w:pPr>
      <w:r>
        <w:t>质物保管</w:t>
      </w:r>
    </w:p>
    <w:p>
      <w:r>
        <w:t>质权人负有妥善保管质押财产的义务；因保管不善致使质押财产毁损、灭失的，</w:t>
      </w:r>
    </w:p>
    <w:p>
      <w:r>
        <w:t>应当承担赔偿责任。质权人的行为可能使质押财产毁损、灭失的，</w:t>
      </w:r>
    </w:p>
    <w:p>
      <w:r>
        <w:t>出质人可以请求质权人将质押财产提存或请求提前清偿债务并返还质押财产。</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